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3D" w:rsidRDefault="00986E3D">
      <w:pPr>
        <w:shd w:val="clear" w:color="auto" w:fill="FFFFFF"/>
        <w:spacing w:line="200" w:lineRule="atLeast"/>
        <w:jc w:val="center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>Uchwała nr VI/76/11</w:t>
      </w:r>
    </w:p>
    <w:p w:rsidR="00986E3D" w:rsidRDefault="00986E3D">
      <w:pPr>
        <w:shd w:val="clear" w:color="auto" w:fill="FFFFFF"/>
        <w:spacing w:line="200" w:lineRule="atLeast"/>
        <w:jc w:val="center"/>
        <w:rPr>
          <w:rFonts w:ascii="Arial" w:hAnsi="Arial"/>
          <w:b/>
          <w:color w:val="000000"/>
          <w:spacing w:val="-13"/>
        </w:rPr>
      </w:pPr>
      <w:r>
        <w:rPr>
          <w:rFonts w:ascii="Arial" w:hAnsi="Arial"/>
          <w:b/>
          <w:color w:val="000000"/>
          <w:spacing w:val="-13"/>
        </w:rPr>
        <w:t>Rady Miejskiej w Nysie</w:t>
      </w:r>
    </w:p>
    <w:p w:rsidR="00986E3D" w:rsidRDefault="00986E3D">
      <w:pPr>
        <w:shd w:val="clear" w:color="auto" w:fill="FFFFFF"/>
        <w:spacing w:line="200" w:lineRule="atLeast"/>
        <w:jc w:val="center"/>
        <w:rPr>
          <w:rFonts w:ascii="Arial" w:hAnsi="Arial"/>
          <w:b/>
          <w:color w:val="000000"/>
          <w:spacing w:val="-3"/>
        </w:rPr>
      </w:pPr>
      <w:r>
        <w:rPr>
          <w:rFonts w:ascii="Arial" w:hAnsi="Arial"/>
          <w:b/>
          <w:color w:val="000000"/>
          <w:spacing w:val="-3"/>
        </w:rPr>
        <w:t>z dnia 30 marca 2011r.</w:t>
      </w:r>
    </w:p>
    <w:p w:rsidR="00986E3D" w:rsidRDefault="00986E3D">
      <w:pPr>
        <w:shd w:val="clear" w:color="auto" w:fill="FFFFFF"/>
        <w:spacing w:line="200" w:lineRule="atLeast"/>
        <w:jc w:val="center"/>
        <w:rPr>
          <w:rFonts w:ascii="Arial" w:hAnsi="Arial"/>
          <w:b/>
          <w:color w:val="000000"/>
          <w:spacing w:val="-10"/>
        </w:rPr>
      </w:pPr>
    </w:p>
    <w:p w:rsidR="00986E3D" w:rsidRPr="00F708AB" w:rsidRDefault="00986E3D">
      <w:pPr>
        <w:shd w:val="clear" w:color="auto" w:fill="FFFFFF"/>
        <w:spacing w:line="200" w:lineRule="atLeast"/>
        <w:jc w:val="center"/>
        <w:rPr>
          <w:rFonts w:ascii="Arial" w:hAnsi="Arial"/>
          <w:b/>
          <w:spacing w:val="-7"/>
        </w:rPr>
      </w:pPr>
      <w:r w:rsidRPr="00F708AB">
        <w:rPr>
          <w:rFonts w:ascii="Arial" w:hAnsi="Arial"/>
          <w:b/>
          <w:spacing w:val="-10"/>
        </w:rPr>
        <w:t xml:space="preserve">w sprawie  zmiany miejscowego planu zagospodarowania przestrzennego </w:t>
      </w:r>
      <w:r w:rsidRPr="00F708AB">
        <w:rPr>
          <w:rFonts w:ascii="Arial" w:hAnsi="Arial"/>
          <w:b/>
          <w:spacing w:val="-7"/>
        </w:rPr>
        <w:t xml:space="preserve">obszaru miejskiego gminy Nysa w zakresie obejmującym części miasta Nysy w rejonie ulic </w:t>
      </w:r>
      <w:r>
        <w:rPr>
          <w:rFonts w:ascii="Arial" w:hAnsi="Arial"/>
          <w:b/>
          <w:spacing w:val="-7"/>
        </w:rPr>
        <w:t xml:space="preserve">                    </w:t>
      </w:r>
      <w:r w:rsidRPr="00F708AB">
        <w:rPr>
          <w:rFonts w:ascii="Arial" w:hAnsi="Arial"/>
          <w:b/>
          <w:spacing w:val="-7"/>
        </w:rPr>
        <w:t>J.</w:t>
      </w:r>
      <w:r>
        <w:rPr>
          <w:rFonts w:ascii="Arial" w:hAnsi="Arial"/>
          <w:b/>
          <w:spacing w:val="-7"/>
        </w:rPr>
        <w:t xml:space="preserve"> </w:t>
      </w:r>
      <w:r w:rsidRPr="00F708AB">
        <w:rPr>
          <w:rFonts w:ascii="Arial" w:hAnsi="Arial"/>
          <w:b/>
          <w:spacing w:val="-7"/>
        </w:rPr>
        <w:t>Piłsudskiego i Podolskiej.</w:t>
      </w:r>
    </w:p>
    <w:p w:rsidR="00986E3D" w:rsidRPr="00F708AB" w:rsidRDefault="00986E3D">
      <w:pPr>
        <w:shd w:val="clear" w:color="auto" w:fill="FFFFFF"/>
        <w:spacing w:line="200" w:lineRule="atLeast"/>
        <w:jc w:val="center"/>
        <w:rPr>
          <w:rFonts w:ascii="Arial" w:hAnsi="Arial"/>
          <w:b/>
          <w:spacing w:val="-10"/>
        </w:rPr>
      </w:pPr>
    </w:p>
    <w:p w:rsidR="00986E3D" w:rsidRPr="00F708AB" w:rsidRDefault="00986E3D">
      <w:pPr>
        <w:shd w:val="clear" w:color="auto" w:fill="FFFFFF"/>
        <w:spacing w:line="200" w:lineRule="atLeast"/>
        <w:jc w:val="center"/>
        <w:rPr>
          <w:rFonts w:ascii="Arial" w:hAnsi="Arial"/>
          <w:spacing w:val="-10"/>
        </w:rPr>
      </w:pPr>
    </w:p>
    <w:p w:rsidR="00986E3D" w:rsidRPr="00F708AB" w:rsidRDefault="00986E3D">
      <w:pPr>
        <w:shd w:val="clear" w:color="auto" w:fill="FFFFFF"/>
        <w:spacing w:line="200" w:lineRule="atLeast"/>
        <w:jc w:val="both"/>
        <w:rPr>
          <w:rFonts w:ascii="Arial" w:hAnsi="Arial"/>
          <w:spacing w:val="-10"/>
        </w:rPr>
      </w:pPr>
      <w:r w:rsidRPr="00F708AB">
        <w:rPr>
          <w:rFonts w:ascii="Arial" w:hAnsi="Arial" w:cs="Arial"/>
          <w:spacing w:val="-7"/>
        </w:rPr>
        <w:t xml:space="preserve">Na podstawie art. 18 ust. 2 pkt 5 ustawy z dnia 8 marca 1990 r. o samorządzie gminnym (Dz. U. z 2001r. Nr 142, poz. 1591, z 2002 r. Nr 23, poz. 220, Nr 62, poz. 558,    Nr 113, poz. 984, Nr 153, poz. 1271 i Nr 214, poz. 1806, z 2003 r. Nr 80, poz. 717 i Nr 162, poz. 1568, z 2004 r. Nr 102, poz. 1055, Nr 116, poz. 1203 i Nr 167, poz. 1759, z 2005 r.    Nr 172, poz. 1441 i Nr 175, poz. 1457, z 2006 r. Nr 17, poz. 128 i Nr 181, poz. 1337, z 2007 r. Nr 48, poz. 327, Nr 138, poz. 974 i Nr 173, poz. 1218, z 2008 r. Nr 180, poz. 1111 i Nr 223, poz. 1453 z 2009 r. Nr 52, poz. 420 i Nr 157, poz. 1241 z 2010 r. Nr 28 poz. 142 i 146, Nr 40, poz.230, Nr 106 poz. 675 z 2011r. Nr 21, poz.113 oraz art. 20 ust.1 w związku z art. 27 ustawy z dnia 27 marca 2003 r. o planowaniu i zagospodarowaniu przestrzennym (Dz. U. Nr 80, poz. 717, z 2004r. Nr 6, poz.41, Nr 141, poz.1492, z 2005r. Nr 113, poz.954, Nr 130, poz.1087, z 2006r. Nr 45, poz.319, Nr 225, poz. 1635, z 2007r. Nr 127, poz.880, z 2008 r. Nr 199, poz. 1227, Nr 201, poz. 1237, Nr 220, poz. 1413 oraz z 2010r. Nr 24, poz. 124 Nr 75 poz. 474, Nr 106 poz. 675, Nr 119 poz. 804, Nr 130 poz. 871, Nr 149 poz. 996, Nr 155 poz. 1043) </w:t>
      </w:r>
      <w:r w:rsidRPr="00F708AB">
        <w:rPr>
          <w:rFonts w:ascii="Arial" w:hAnsi="Arial"/>
          <w:spacing w:val="-2"/>
        </w:rPr>
        <w:t xml:space="preserve">po stwierdzeniu zgodności z ustaleniami Studium uwarunkowań i kierunków zagospodarowania przestrzennego gminy Nysa, </w:t>
      </w:r>
      <w:r w:rsidRPr="00F708AB">
        <w:rPr>
          <w:rFonts w:ascii="Arial" w:hAnsi="Arial"/>
          <w:spacing w:val="-10"/>
        </w:rPr>
        <w:t>Rada Miejska w Nysie uchwala, co następuje:</w:t>
      </w:r>
    </w:p>
    <w:p w:rsidR="00986E3D" w:rsidRPr="00F708AB" w:rsidRDefault="00986E3D">
      <w:pPr>
        <w:shd w:val="clear" w:color="auto" w:fill="FFFFFF"/>
        <w:spacing w:line="200" w:lineRule="atLeast"/>
        <w:jc w:val="both"/>
        <w:rPr>
          <w:rFonts w:ascii="Arial" w:hAnsi="Arial"/>
          <w:spacing w:val="-10"/>
        </w:rPr>
      </w:pPr>
    </w:p>
    <w:p w:rsidR="00986E3D" w:rsidRPr="00F708AB" w:rsidRDefault="00986E3D" w:rsidP="00C25231">
      <w:pPr>
        <w:spacing w:line="100" w:lineRule="atLeast"/>
        <w:jc w:val="both"/>
        <w:rPr>
          <w:rFonts w:ascii="Arial" w:hAnsi="Arial"/>
        </w:rPr>
      </w:pPr>
      <w:r w:rsidRPr="00F708AB">
        <w:rPr>
          <w:rFonts w:ascii="Arial" w:hAnsi="Arial"/>
          <w:spacing w:val="-10"/>
        </w:rPr>
        <w:tab/>
      </w:r>
      <w:r w:rsidRPr="00F708AB">
        <w:rPr>
          <w:rFonts w:ascii="Arial" w:hAnsi="Arial"/>
        </w:rPr>
        <w:t>§1. Uchwala się  zmiany miejscowego planu zagospodarowania przestrzennego obszaru miejskiego gminy Nysa w zakresie obejmującym części miasta Nysy w rejonie ulic J.</w:t>
      </w:r>
      <w:r>
        <w:rPr>
          <w:rFonts w:ascii="Arial" w:hAnsi="Arial"/>
        </w:rPr>
        <w:t xml:space="preserve"> </w:t>
      </w:r>
      <w:r w:rsidRPr="00F708AB">
        <w:rPr>
          <w:rFonts w:ascii="Arial" w:hAnsi="Arial"/>
        </w:rPr>
        <w:t xml:space="preserve">Piłsudskiego i Podolskiej zatwierdzonego uchwałą Nr L/826/06 Rady Miejskiej w Nysie </w:t>
      </w:r>
      <w:r>
        <w:rPr>
          <w:rFonts w:ascii="Arial" w:hAnsi="Arial"/>
        </w:rPr>
        <w:t xml:space="preserve">           </w:t>
      </w:r>
      <w:r w:rsidRPr="00F708AB">
        <w:rPr>
          <w:rFonts w:ascii="Arial" w:hAnsi="Arial"/>
        </w:rPr>
        <w:t xml:space="preserve">z dnia 26 kwietnia 2006 r. wraz ze zmianą uchwaloną Uchwałą nr XXVII/386/08 Rady Miejskiej w Nysie z dnia 27 listopada 2008r. </w:t>
      </w:r>
    </w:p>
    <w:p w:rsidR="00986E3D" w:rsidRPr="00F708AB" w:rsidRDefault="00986E3D" w:rsidP="00C25231">
      <w:pPr>
        <w:shd w:val="clear" w:color="auto" w:fill="FFFFFF"/>
        <w:spacing w:line="100" w:lineRule="atLeast"/>
        <w:jc w:val="both"/>
        <w:rPr>
          <w:rFonts w:ascii="Arial" w:hAnsi="Arial"/>
          <w:spacing w:val="-10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§2. Zmiana miejscowego planu zagospodarowania </w:t>
      </w:r>
      <w:r w:rsidRPr="00F708AB">
        <w:rPr>
          <w:rFonts w:ascii="Arial" w:hAnsi="Arial"/>
          <w:spacing w:val="-7"/>
        </w:rPr>
        <w:t xml:space="preserve">obszaru miejskiego gminy Nysa </w:t>
      </w:r>
      <w:r>
        <w:rPr>
          <w:rFonts w:ascii="Arial" w:hAnsi="Arial"/>
          <w:spacing w:val="-7"/>
        </w:rPr>
        <w:t xml:space="preserve">           </w:t>
      </w:r>
      <w:r w:rsidRPr="00F708AB">
        <w:rPr>
          <w:rFonts w:ascii="Arial" w:hAnsi="Arial"/>
          <w:spacing w:val="-7"/>
        </w:rPr>
        <w:t>w zakresie obejmującym części miasta Nysy w rejonie ulic J.Piłsudskiego i Podolskiej</w:t>
      </w:r>
      <w:r w:rsidRPr="00F708AB">
        <w:rPr>
          <w:rFonts w:ascii="Arial" w:hAnsi="Arial"/>
        </w:rPr>
        <w:t>, składa się z: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1) tekstu  zmiany miejscowego planu zawartego w niniejszej uchwale;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2) rysunku  zmiany miejscowego planu, stanowiącego  załącznik nr 1 i 2 </w:t>
      </w:r>
      <w:r>
        <w:rPr>
          <w:rFonts w:ascii="Arial" w:hAnsi="Arial"/>
        </w:rPr>
        <w:t xml:space="preserve">                        </w:t>
      </w:r>
      <w:r w:rsidRPr="00F708AB">
        <w:rPr>
          <w:rFonts w:ascii="Arial" w:hAnsi="Arial"/>
        </w:rPr>
        <w:t>do niniejszej uchwały;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3) rozstrzygnięcia o sposobie realizacji, zapisanych w zmianie planu, inwestycji </w:t>
      </w:r>
      <w:r>
        <w:rPr>
          <w:rFonts w:ascii="Arial" w:hAnsi="Arial"/>
        </w:rPr>
        <w:t xml:space="preserve">              </w:t>
      </w:r>
      <w:r w:rsidRPr="00F708AB">
        <w:rPr>
          <w:rFonts w:ascii="Arial" w:hAnsi="Arial"/>
        </w:rPr>
        <w:t>z zakresu infrastruktury technicznej, które należą do zadań własnych gminy oraz zasadach ich finansowania stanowiącego załącznik nr 3 do niniejszej uchwały;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7"/>
        </w:rPr>
      </w:pPr>
      <w:r w:rsidRPr="00F708AB">
        <w:rPr>
          <w:rFonts w:ascii="Arial" w:hAnsi="Arial"/>
          <w:spacing w:val="-7"/>
        </w:rPr>
        <w:tab/>
        <w:t>4) rozstrzygnięcia o sposobie rozpatrzenia uwag do projektu zmiany planu, stanowiącego załącznik nr 4 do niniejszej uchwały.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10"/>
        </w:rPr>
      </w:pP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b/>
          <w:bCs/>
          <w:spacing w:val="-7"/>
        </w:rPr>
      </w:pPr>
      <w:r w:rsidRPr="00F708AB">
        <w:rPr>
          <w:rFonts w:ascii="Arial" w:hAnsi="Arial"/>
          <w:b/>
          <w:bCs/>
          <w:spacing w:val="-7"/>
        </w:rPr>
        <w:tab/>
        <w:t>DZIAŁ I. PRZEPISY OGÓLNE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b/>
          <w:bCs/>
          <w:spacing w:val="-10"/>
        </w:rPr>
      </w:pP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7"/>
        </w:rPr>
      </w:pPr>
      <w:r w:rsidRPr="00F708AB">
        <w:rPr>
          <w:rFonts w:ascii="Arial" w:hAnsi="Arial"/>
          <w:spacing w:val="-8"/>
        </w:rPr>
        <w:tab/>
        <w:t xml:space="preserve">§ 3. </w:t>
      </w:r>
      <w:r w:rsidRPr="00F708AB">
        <w:rPr>
          <w:rFonts w:ascii="Arial" w:hAnsi="Arial"/>
          <w:spacing w:val="-7"/>
        </w:rPr>
        <w:t>W miejscowym planie zagospodarowania przestrzennego obszaru miejskiego gminy Nysa w zakresie obejmującym części miasta Nysy w rejonie ulic J. Piłsudskiego i Podolskiej wprowadza się zmiany następujące: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7"/>
        </w:rPr>
      </w:pPr>
      <w:r w:rsidRPr="00F708AB">
        <w:rPr>
          <w:rFonts w:ascii="Arial" w:hAnsi="Arial"/>
          <w:spacing w:val="-7"/>
        </w:rPr>
        <w:tab/>
        <w:t>1) z części terenu zabudowy mieszkaniowej jednorodzinnej (oznaczonego symbolem MN.3) wydziela się  teren zabudowy usługowej (oznaczony  symbolem U.3a);</w:t>
      </w:r>
      <w:r w:rsidRPr="00F708AB">
        <w:rPr>
          <w:rFonts w:ascii="Arial" w:hAnsi="Arial"/>
          <w:spacing w:val="-7"/>
        </w:rPr>
        <w:tab/>
      </w:r>
    </w:p>
    <w:p w:rsidR="00986E3D" w:rsidRPr="00F708AB" w:rsidRDefault="00986E3D" w:rsidP="00C25231">
      <w:pPr>
        <w:shd w:val="clear" w:color="auto" w:fill="FFFFFF"/>
        <w:spacing w:line="200" w:lineRule="atLeast"/>
        <w:ind w:firstLine="709"/>
        <w:jc w:val="both"/>
        <w:rPr>
          <w:rFonts w:ascii="Arial" w:hAnsi="Arial"/>
          <w:spacing w:val="-8"/>
        </w:rPr>
      </w:pPr>
      <w:r w:rsidRPr="00F708AB">
        <w:rPr>
          <w:rFonts w:ascii="Arial" w:hAnsi="Arial"/>
          <w:spacing w:val="-7"/>
        </w:rPr>
        <w:t>2)</w:t>
      </w:r>
      <w:r w:rsidRPr="00F708AB">
        <w:rPr>
          <w:rFonts w:ascii="Arial" w:hAnsi="Arial"/>
          <w:spacing w:val="-8"/>
        </w:rPr>
        <w:t>wprowadza się nowe ustalenia szczegółowe dla terenu oznaczonego symbolem U.3a;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7"/>
        </w:rPr>
      </w:pPr>
      <w:r w:rsidRPr="00F708AB">
        <w:rPr>
          <w:rFonts w:ascii="Arial" w:hAnsi="Arial"/>
          <w:spacing w:val="-8"/>
        </w:rPr>
        <w:tab/>
        <w:t xml:space="preserve">3) </w:t>
      </w:r>
      <w:r w:rsidRPr="00F708AB">
        <w:rPr>
          <w:rFonts w:ascii="Arial" w:hAnsi="Arial"/>
          <w:spacing w:val="-7"/>
        </w:rPr>
        <w:t>z części terenu zabudowy mieszkaniowej jednorodzinnej (oznaczonego symbolem MN.12) wyznacza się  teren zabudowy usługowej (oznaczony  symbolem U.12a);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8"/>
        </w:rPr>
      </w:pPr>
      <w:r w:rsidRPr="00F708AB">
        <w:rPr>
          <w:rFonts w:ascii="Arial" w:hAnsi="Arial"/>
          <w:spacing w:val="-7"/>
        </w:rPr>
        <w:tab/>
        <w:t xml:space="preserve">4) </w:t>
      </w:r>
      <w:r w:rsidRPr="00F708AB">
        <w:rPr>
          <w:rFonts w:ascii="Arial" w:hAnsi="Arial"/>
          <w:spacing w:val="-8"/>
        </w:rPr>
        <w:t>wprowadza się nowe ustalenia szczegółowe dla terenu oznaczonego symbolem U.12a;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  <w:spacing w:val="-10"/>
        </w:rPr>
      </w:pP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4.1. Przedmiotem ustaleń zmiany planu są warunki zabudowy </w:t>
      </w:r>
      <w:r>
        <w:rPr>
          <w:rFonts w:ascii="Arial" w:hAnsi="Arial"/>
        </w:rPr>
        <w:t xml:space="preserve">                                        </w:t>
      </w:r>
      <w:r w:rsidRPr="00F708AB">
        <w:rPr>
          <w:rFonts w:ascii="Arial" w:hAnsi="Arial"/>
        </w:rPr>
        <w:t>i zagospodarowania terenu obejmujące: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1) zmianę przeznaczenia terenów oraz linii rozgraniczających tereny o różnym przeznaczeniu lub różnych zasadach zagospodarowania;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2) dodatkowe zasady ochrony i kształtowania ładu przestrzennego oraz parametry </w:t>
      </w:r>
      <w:r>
        <w:rPr>
          <w:rFonts w:ascii="Arial" w:hAnsi="Arial"/>
        </w:rPr>
        <w:t xml:space="preserve">               </w:t>
      </w:r>
      <w:r w:rsidRPr="00F708AB">
        <w:rPr>
          <w:rFonts w:ascii="Arial" w:hAnsi="Arial"/>
        </w:rPr>
        <w:t>i wskaźniki kształtowania zabudowy oraz zagospodarowania terenu;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3) granice i sposoby zagospodarowania terenów lub obiektów podlegających ochronie, ustalonych na podstawie odrębnych przepisów; 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4) rozszerzenie zasad ochrony dziedzictwa kulturowego i zabytków oraz dóbr kultury współczesnej;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</w:r>
      <w:r>
        <w:rPr>
          <w:rFonts w:ascii="Arial" w:hAnsi="Arial"/>
        </w:rPr>
        <w:t>5</w:t>
      </w:r>
      <w:r w:rsidRPr="00F708AB">
        <w:rPr>
          <w:rFonts w:ascii="Arial" w:hAnsi="Arial"/>
        </w:rPr>
        <w:t xml:space="preserve">) stawki procentowe stanowiące  podstawę do określania opłaty, o której mowa </w:t>
      </w:r>
      <w:r>
        <w:rPr>
          <w:rFonts w:ascii="Arial" w:hAnsi="Arial"/>
        </w:rPr>
        <w:t xml:space="preserve">               </w:t>
      </w:r>
      <w:r w:rsidRPr="00F708AB">
        <w:rPr>
          <w:rFonts w:ascii="Arial" w:hAnsi="Arial"/>
        </w:rPr>
        <w:t>w art. 36 ust. 4 ustawy o planowaniu i zagospodarowaniu przestrzennym.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2. W ustaleniach zmiany planu nie zmienia się określonych w planie: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1) zasad ochrony środowiska, przyrody i krajobrazu kulturowego;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 w:cs="Univers"/>
        </w:rPr>
      </w:pPr>
      <w:r w:rsidRPr="00F708AB">
        <w:rPr>
          <w:rFonts w:ascii="Arial" w:hAnsi="Arial"/>
          <w:spacing w:val="-10"/>
        </w:rPr>
        <w:tab/>
        <w:t xml:space="preserve">2) </w:t>
      </w:r>
      <w:r w:rsidRPr="00F708AB">
        <w:rPr>
          <w:rFonts w:ascii="Arial" w:hAnsi="Arial" w:cs="Univers"/>
        </w:rPr>
        <w:t xml:space="preserve">wymagań wynikających z potrzeb kształtowania przestrzeni publicznych; 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 w:cs="Univers"/>
        </w:rPr>
      </w:pPr>
      <w:r w:rsidRPr="00F708AB">
        <w:rPr>
          <w:rFonts w:ascii="Arial" w:hAnsi="Arial" w:cs="Univers"/>
        </w:rPr>
        <w:tab/>
        <w:t xml:space="preserve">3) sposobów i terminów tymczasowego zagospodarowania, urządzenia </w:t>
      </w:r>
      <w:r>
        <w:rPr>
          <w:rFonts w:ascii="Arial" w:hAnsi="Arial" w:cs="Univers"/>
        </w:rPr>
        <w:t xml:space="preserve">                            </w:t>
      </w:r>
      <w:r w:rsidRPr="00F708AB">
        <w:rPr>
          <w:rFonts w:ascii="Arial" w:hAnsi="Arial" w:cs="Univers"/>
        </w:rPr>
        <w:t xml:space="preserve">i użytkowania terenów; </w:t>
      </w:r>
      <w:r w:rsidRPr="00F708AB">
        <w:rPr>
          <w:rFonts w:ascii="Arial" w:hAnsi="Arial" w:cs="Univers"/>
        </w:rPr>
        <w:tab/>
      </w:r>
    </w:p>
    <w:p w:rsidR="00986E3D" w:rsidRPr="00F708AB" w:rsidRDefault="00986E3D" w:rsidP="00C25231">
      <w:pPr>
        <w:pStyle w:val="Default"/>
        <w:jc w:val="both"/>
        <w:rPr>
          <w:rFonts w:ascii="Arial" w:hAnsi="Arial"/>
          <w:color w:val="auto"/>
        </w:rPr>
      </w:pPr>
      <w:r w:rsidRPr="00F708AB"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>4</w:t>
      </w:r>
      <w:r w:rsidRPr="00F708AB">
        <w:rPr>
          <w:rFonts w:ascii="Arial" w:hAnsi="Arial"/>
          <w:color w:val="auto"/>
        </w:rPr>
        <w:t>) zasad modernizacji, rozbudowy i budowy systemów komunikacji i infrastruktury technicznej.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3. W ustaleniach zmiany planu odstępuje się od ustalenia szczegółowych zasad </w:t>
      </w:r>
      <w:r>
        <w:rPr>
          <w:rFonts w:ascii="Arial" w:hAnsi="Arial"/>
        </w:rPr>
        <w:t xml:space="preserve">                </w:t>
      </w:r>
      <w:r w:rsidRPr="00F708AB">
        <w:rPr>
          <w:rFonts w:ascii="Arial" w:hAnsi="Arial"/>
        </w:rPr>
        <w:t xml:space="preserve">i warunków scalania nieruchomości i ich ponownego podziału  na działki gruntu, ponieważ w niniejszym planie nie określono  obszarów (i ich granic) podlegających scaleniu </w:t>
      </w:r>
      <w:r>
        <w:rPr>
          <w:rFonts w:ascii="Arial" w:hAnsi="Arial"/>
        </w:rPr>
        <w:t xml:space="preserve">                        </w:t>
      </w:r>
      <w:r w:rsidRPr="00F708AB">
        <w:rPr>
          <w:rFonts w:ascii="Arial" w:hAnsi="Arial"/>
        </w:rPr>
        <w:t>i podziałowi  przez gminę,  zgodnie  z ustawą o gospodarce nieruchomościami.</w:t>
      </w:r>
    </w:p>
    <w:p w:rsidR="00986E3D" w:rsidRPr="00F708AB" w:rsidRDefault="00986E3D" w:rsidP="00C25231">
      <w:pPr>
        <w:jc w:val="both"/>
        <w:rPr>
          <w:rFonts w:ascii="Arial" w:hAnsi="Arial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§ 5.1. Następujące oznaczenia graficzne rysunku zmiany planu są obowiązującymi ustaleniami planu: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1) granica terenu objętego zmianą planu, jako granica obowiązywania ustaleń zmiany planu;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2) linie rozgraniczające tereny;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3) nieprzekraczalne linie zabudowy;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4) symbol określający zasadniczą funkcję terenu.</w:t>
      </w:r>
    </w:p>
    <w:p w:rsidR="00986E3D" w:rsidRPr="00F708AB" w:rsidRDefault="00986E3D" w:rsidP="00C25231">
      <w:pPr>
        <w:jc w:val="both"/>
        <w:rPr>
          <w:rFonts w:ascii="Arial" w:hAnsi="Arial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2. Pozostałe oznaczenia graficzne mają charakter informacyjny lub postulatywny.</w:t>
      </w:r>
    </w:p>
    <w:p w:rsidR="00986E3D" w:rsidRPr="00F708AB" w:rsidRDefault="00986E3D" w:rsidP="00C25231">
      <w:pPr>
        <w:jc w:val="both"/>
        <w:rPr>
          <w:rFonts w:ascii="Arial" w:hAnsi="Arial"/>
        </w:rPr>
      </w:pP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§ 6. Ilekroć w przepisach niniejszej uchwały jest mowa o: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 xml:space="preserve">wskaźniku  intensywności   zabudowy   -   należy przez to rozumieć stosunek   powierzchni    wszystkich  kondygnacji  budynku  w  zewnętrznym  obrysie  ścian, </w:t>
      </w:r>
      <w:r>
        <w:rPr>
          <w:rFonts w:ascii="Arial" w:hAnsi="Arial"/>
        </w:rPr>
        <w:t xml:space="preserve">                    </w:t>
      </w:r>
      <w:r w:rsidRPr="00F708AB">
        <w:rPr>
          <w:rFonts w:ascii="Arial" w:hAnsi="Arial"/>
        </w:rPr>
        <w:t>do</w:t>
      </w:r>
      <w:r>
        <w:rPr>
          <w:rFonts w:ascii="Arial" w:hAnsi="Arial"/>
        </w:rPr>
        <w:t xml:space="preserve"> </w:t>
      </w:r>
      <w:r w:rsidRPr="00F708AB">
        <w:rPr>
          <w:rFonts w:ascii="Arial" w:hAnsi="Arial"/>
        </w:rPr>
        <w:t>powierzchni terenu.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  <w:b/>
          <w:bCs/>
        </w:rPr>
      </w:pPr>
    </w:p>
    <w:p w:rsidR="00986E3D" w:rsidRPr="00F708AB" w:rsidRDefault="00986E3D" w:rsidP="00C25231">
      <w:pPr>
        <w:jc w:val="both"/>
        <w:rPr>
          <w:rFonts w:ascii="Arial" w:hAnsi="Arial"/>
          <w:b/>
          <w:bCs/>
        </w:rPr>
      </w:pPr>
      <w:r w:rsidRPr="00F708AB">
        <w:rPr>
          <w:rFonts w:ascii="Arial" w:hAnsi="Arial"/>
          <w:b/>
          <w:bCs/>
        </w:rPr>
        <w:tab/>
        <w:t>DZIAŁ II. USTALENIA SZCZEGÓŁOWE</w:t>
      </w:r>
    </w:p>
    <w:p w:rsidR="00986E3D" w:rsidRPr="00F708AB" w:rsidRDefault="00986E3D" w:rsidP="00C25231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Arial" w:hAnsi="Arial"/>
          <w:b/>
          <w:bCs/>
        </w:rPr>
      </w:pPr>
      <w:r w:rsidRPr="00F708AB">
        <w:rPr>
          <w:rFonts w:ascii="Arial" w:hAnsi="Arial"/>
          <w:b/>
          <w:bCs/>
        </w:rPr>
        <w:tab/>
      </w:r>
    </w:p>
    <w:p w:rsidR="00986E3D" w:rsidRPr="00F708AB" w:rsidRDefault="00986E3D" w:rsidP="00C25231">
      <w:pPr>
        <w:ind w:firstLine="709"/>
        <w:jc w:val="both"/>
        <w:rPr>
          <w:rFonts w:ascii="Arial" w:hAnsi="Arial"/>
        </w:rPr>
      </w:pPr>
      <w:r w:rsidRPr="00F708AB">
        <w:rPr>
          <w:rFonts w:ascii="Arial" w:hAnsi="Arial"/>
        </w:rPr>
        <w:t xml:space="preserve">§ 7. Rozszerza się dotychczasowe ustalenia planu w zakresie zasad ochrony dziedzictwa kulturowego i zabytków oraz dóbr kultury współczesnej,  w ten sposób, </w:t>
      </w:r>
      <w:r>
        <w:rPr>
          <w:rFonts w:ascii="Arial" w:hAnsi="Arial"/>
        </w:rPr>
        <w:t xml:space="preserve">                </w:t>
      </w:r>
      <w:r w:rsidRPr="00F708AB">
        <w:rPr>
          <w:rFonts w:ascii="Arial" w:hAnsi="Arial"/>
        </w:rPr>
        <w:t xml:space="preserve">że w § 9 uchwały Nr L/826/06 Rady Miejskiej w Nysie z dnia 26 kwietnia 2006 r. dodaje </w:t>
      </w:r>
      <w:r>
        <w:rPr>
          <w:rFonts w:ascii="Arial" w:hAnsi="Arial"/>
        </w:rPr>
        <w:t xml:space="preserve"> </w:t>
      </w:r>
      <w:r w:rsidRPr="00F708AB">
        <w:rPr>
          <w:rFonts w:ascii="Arial" w:hAnsi="Arial"/>
        </w:rPr>
        <w:t>się  pkt 3, 4 i 5 w brzmieniu: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„3) w granicach  planu ochroną obejmuje się obszar ochrony konserwatorskiej układu urbanistycznego - Strefa „B”, dla której zakres urbanistycznej ochrony konserwatorskiej wymaga: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a) zachowania charakteru historycznej zabudowy i układów przestrzennych;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b) uczytelnienia historycznych struktur przestrzennych;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c) eliminowania elementów dysharmonijnych;</w:t>
      </w:r>
    </w:p>
    <w:p w:rsidR="00986E3D" w:rsidRPr="00F708AB" w:rsidRDefault="00986E3D" w:rsidP="00C25231">
      <w:pPr>
        <w:jc w:val="both"/>
        <w:rPr>
          <w:rFonts w:ascii="Arial" w:hAnsi="Arial"/>
          <w:spacing w:val="3"/>
        </w:rPr>
      </w:pPr>
      <w:r w:rsidRPr="00F708AB">
        <w:rPr>
          <w:rFonts w:ascii="Arial" w:hAnsi="Arial"/>
        </w:rPr>
        <w:tab/>
        <w:t>d) dostosowanie nowych obiektów do charakteru historycznej zabudowy i układów przestrzennych.</w:t>
      </w:r>
      <w:r w:rsidRPr="00F708AB">
        <w:rPr>
          <w:rFonts w:ascii="Arial" w:hAnsi="Arial"/>
          <w:spacing w:val="3"/>
        </w:rPr>
        <w:tab/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4) w granicach zmiany planu znajduje się strefa obserwacji archeologicznej, </w:t>
      </w:r>
      <w:r>
        <w:rPr>
          <w:rFonts w:ascii="Arial" w:hAnsi="Arial"/>
        </w:rPr>
        <w:t xml:space="preserve">                   </w:t>
      </w:r>
      <w:r w:rsidRPr="00F708AB">
        <w:rPr>
          <w:rFonts w:ascii="Arial" w:hAnsi="Arial"/>
        </w:rPr>
        <w:t>w strefie tej:</w:t>
      </w:r>
    </w:p>
    <w:p w:rsidR="00986E3D" w:rsidRPr="00F708AB" w:rsidRDefault="00986E3D" w:rsidP="00C25231">
      <w:pPr>
        <w:jc w:val="both"/>
        <w:rPr>
          <w:rFonts w:ascii="Arial" w:hAnsi="Arial" w:cs="Arial"/>
        </w:rPr>
      </w:pPr>
      <w:r w:rsidRPr="00F708AB">
        <w:rPr>
          <w:rFonts w:ascii="Arial" w:hAnsi="Arial"/>
        </w:rPr>
        <w:tab/>
        <w:t xml:space="preserve">a) </w:t>
      </w:r>
      <w:r w:rsidRPr="00F708AB">
        <w:rPr>
          <w:rFonts w:ascii="Arial" w:hAnsi="Arial" w:cs="Arial"/>
        </w:rPr>
        <w:t xml:space="preserve">wszelkie przekształcenia lub zmiany formy zagospodarowania terenu uwarunkowane są badaniami ratowniczymi lub obserwacją w uzgodnieniu z Opolskim Wojewódzkim Konserwatorem Zabytków, który podejmuje decyzje dotyczącą wielkości </w:t>
      </w:r>
      <w:r>
        <w:rPr>
          <w:rFonts w:ascii="Arial" w:hAnsi="Arial" w:cs="Arial"/>
        </w:rPr>
        <w:t xml:space="preserve">                 </w:t>
      </w:r>
      <w:r w:rsidRPr="00F708AB">
        <w:rPr>
          <w:rFonts w:ascii="Arial" w:hAnsi="Arial" w:cs="Arial"/>
        </w:rPr>
        <w:t>i trybu badań archeologicznych.</w:t>
      </w:r>
    </w:p>
    <w:p w:rsidR="00986E3D" w:rsidRPr="00F708AB" w:rsidRDefault="00986E3D" w:rsidP="00C25231">
      <w:pPr>
        <w:jc w:val="both"/>
        <w:rPr>
          <w:rFonts w:ascii="Arial" w:hAnsi="Arial"/>
          <w:spacing w:val="3"/>
        </w:rPr>
      </w:pPr>
      <w:r w:rsidRPr="00F708AB">
        <w:rPr>
          <w:rFonts w:ascii="Arial" w:hAnsi="Arial"/>
          <w:spacing w:val="3"/>
        </w:rPr>
        <w:tab/>
        <w:t>5) odkrycie przedmiotów przypuszczalnie zabytkowych w trakcie prowadzenia robót budowlanych i ziemnych wymaga: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a) wstrzymania robót mogących uszkodzić lub zniszczyć odkryty przedmiot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b) zabezpieczenia tego przedmiotu i miejsca jego odkrycia;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c) niezwłocznego powiadomienia Opolskiego Wojewódzkiego Konserwatora Zabytków lub Burmistrza Nysy.”</w:t>
      </w:r>
    </w:p>
    <w:p w:rsidR="00986E3D" w:rsidRPr="00F708AB" w:rsidRDefault="00986E3D" w:rsidP="00C25231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Arial" w:hAnsi="Arial"/>
          <w:b/>
          <w:bCs/>
        </w:rPr>
      </w:pPr>
    </w:p>
    <w:p w:rsidR="00986E3D" w:rsidRPr="00F708AB" w:rsidRDefault="00986E3D" w:rsidP="00C25231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Arial" w:hAnsi="Arial"/>
          <w:b/>
          <w:bCs/>
        </w:rPr>
      </w:pPr>
    </w:p>
    <w:p w:rsidR="00986E3D" w:rsidRPr="00F708AB" w:rsidRDefault="00986E3D" w:rsidP="00C25231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Arial" w:hAnsi="Arial"/>
          <w:b/>
          <w:bCs/>
        </w:rPr>
      </w:pP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8. W rozdziale 2 uchwały Nr L/826/06 Rady Miejskiej w Nysie z dnia 26 kwietnia 2006 r., po § 15 dodaje się § 15a w brzmieniu: </w:t>
      </w:r>
    </w:p>
    <w:p w:rsidR="00986E3D" w:rsidRPr="00F708AB" w:rsidRDefault="00986E3D" w:rsidP="00C25231">
      <w:pPr>
        <w:shd w:val="clear" w:color="auto" w:fill="FFFFFF"/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 xml:space="preserve">„§ 15a. Dla terenu oznaczonego symbolem </w:t>
      </w:r>
      <w:r w:rsidRPr="00F708AB">
        <w:rPr>
          <w:rFonts w:ascii="Arial" w:hAnsi="Arial"/>
          <w:b/>
          <w:bCs/>
        </w:rPr>
        <w:t>U.3a</w:t>
      </w:r>
      <w:r w:rsidRPr="00F708AB">
        <w:rPr>
          <w:rFonts w:ascii="Arial" w:hAnsi="Arial"/>
          <w:b/>
        </w:rPr>
        <w:t xml:space="preserve"> </w:t>
      </w:r>
      <w:r w:rsidRPr="00F708AB">
        <w:rPr>
          <w:rFonts w:ascii="Arial" w:hAnsi="Arial"/>
        </w:rPr>
        <w:t>o podstawowym przeznaczeniu pod zabudowę usługową ustala się następujące warunki zabudowy i zagospodarowania oraz parametry i standardy kształtowania zabudowy: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1) ustala się nieprzekraczalne linie zabudowy zgodne z rysunkiem planu;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2) nakazuje się powierzchnię biologicznie czynną min. 20%;   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3) nakazuje się wskaźnik intensywności zabudowy od 0,7÷1,4;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4) dla nowej zabudowy usługowej nakazuje się: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 xml:space="preserve">a) liczbę kondygnacji nadziemnych – do 2; 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 xml:space="preserve">b) max. wysokość nie przekraczającą </w:t>
      </w:r>
      <w:smartTag w:uri="urn:schemas-microsoft-com:office:smarttags" w:element="metricconverter">
        <w:smartTagPr>
          <w:attr w:name="ProductID" w:val="5,0 m"/>
        </w:smartTagPr>
        <w:r w:rsidRPr="00F708AB">
          <w:t>5,0 m</w:t>
        </w:r>
      </w:smartTag>
      <w:r w:rsidRPr="00F708AB">
        <w:t xml:space="preserve"> do okapu dachu i 7,0 m do kalenicy;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 xml:space="preserve">c) zasadniczy dach budynków mieszkalnych dwuspadowy o nachyleniu połaci w granicach 10°÷35°; z dopuszczeniem dachów płaskich przy wysokości obiektów </w:t>
      </w:r>
      <w:r>
        <w:t xml:space="preserve">                  </w:t>
      </w:r>
      <w:r w:rsidRPr="00F708AB">
        <w:t>do okapu dachu do 6,0m;</w:t>
      </w:r>
      <w:r w:rsidRPr="00F708AB">
        <w:tab/>
      </w:r>
    </w:p>
    <w:p w:rsidR="00986E3D" w:rsidRPr="00F708AB" w:rsidRDefault="00986E3D" w:rsidP="00C25231">
      <w:pPr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5) nakazuje się zapewnienie miejsc postojowych dla samochodów osobowych </w:t>
      </w:r>
      <w:r>
        <w:rPr>
          <w:rFonts w:ascii="Arial" w:hAnsi="Arial"/>
        </w:rPr>
        <w:t xml:space="preserve">               </w:t>
      </w:r>
      <w:r w:rsidRPr="00F708AB">
        <w:rPr>
          <w:rFonts w:ascii="Arial" w:hAnsi="Arial"/>
        </w:rPr>
        <w:t>od strony południowej na terenie działki wg wskaźnika  min.1 miejsce na 25 m</w:t>
      </w:r>
      <w:r w:rsidRPr="00F708AB">
        <w:rPr>
          <w:rFonts w:ascii="Arial" w:hAnsi="Arial"/>
          <w:vertAlign w:val="superscript"/>
        </w:rPr>
        <w:t>2</w:t>
      </w:r>
      <w:r w:rsidRPr="00F708AB">
        <w:rPr>
          <w:rFonts w:ascii="Arial" w:hAnsi="Arial"/>
        </w:rPr>
        <w:t xml:space="preserve"> powierzchni sprzedażowej usług i dodatkowo wg wskaźnika min. 0,3 miejsca postojowego na 1 zatrudnionego;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6) nakazuje się obsługę komunikacyjną terenu U.3a projektowaną drogą dojazdową oznaczoną symbolem KDD; zakazuje się bezpośrednich zjazdów z drogi dojazdowej KDD.1przez teren MN.3;</w:t>
      </w:r>
    </w:p>
    <w:p w:rsidR="00986E3D" w:rsidRPr="00F708AB" w:rsidRDefault="00986E3D" w:rsidP="00C25231">
      <w:pPr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7) zakazuje się lokalizacji obiektów tymczasowych;</w:t>
      </w:r>
    </w:p>
    <w:p w:rsidR="00986E3D" w:rsidRPr="00F708AB" w:rsidRDefault="00986E3D" w:rsidP="00C25231">
      <w:pPr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8) nakazuje się ograniczenie uciążliwego oddziaływania usług do granic terenu określonego tytułem prawnym do użytkowania </w:t>
      </w:r>
      <w:r w:rsidRPr="00F708AB">
        <w:rPr>
          <w:rFonts w:ascii="Arial" w:hAnsi="Arial" w:cs="Arial"/>
        </w:rPr>
        <w:t>z wyłączeniem inwestycji celu publicznego z zakresu łączności publicznej</w:t>
      </w:r>
      <w:r w:rsidRPr="00F708AB">
        <w:rPr>
          <w:rFonts w:ascii="Arial" w:hAnsi="Arial"/>
        </w:rPr>
        <w:t>;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 xml:space="preserve">9) zakazuje się lokalizacji obiektów rzemiosła produkcyjnego i usługowego zaliczanych do przedsięwzięć mogących zawsze znacząco oddziaływać na środowisko </w:t>
      </w:r>
      <w:r>
        <w:t xml:space="preserve">               </w:t>
      </w:r>
      <w:r w:rsidRPr="00F708AB">
        <w:t>i przedsięwzięć mogących potencjalnie oddziaływać na środowisko;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10) dopuszcza się lokalizację obiektów i urządzeń towarzyszących funkcji podstawowej terenu; obiektów i urządzeń infrastruktury technicznej oraz zieleń urządzoną na niezabudowanej części terenu.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11) dopuszcza się korektę granic terenu od strony granicy działki 4/1 z działką nr 3.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  <w:rPr>
          <w:rFonts w:cs="Arial"/>
        </w:rPr>
      </w:pPr>
      <w:r w:rsidRPr="00F708AB">
        <w:tab/>
        <w:t xml:space="preserve">12) </w:t>
      </w:r>
      <w:r w:rsidRPr="00F708AB">
        <w:rPr>
          <w:rFonts w:cs="Arial"/>
        </w:rPr>
        <w:t xml:space="preserve">dopuszcza się inwestycje celu publicznego z zakresu łączności publicznej, 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  <w:rPr>
          <w:rFonts w:cs="Arial"/>
        </w:rPr>
      </w:pPr>
      <w:r w:rsidRPr="00F708AB">
        <w:rPr>
          <w:rFonts w:cs="Arial"/>
        </w:rPr>
        <w:t>których lokalizacja odbywać się będzie na warunkach określonych w przepisach odrębnych.”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  <w:rPr>
          <w:rFonts w:cs="Arial"/>
        </w:rPr>
      </w:pPr>
      <w:r w:rsidRPr="00F708AB">
        <w:rPr>
          <w:rFonts w:cs="Arial"/>
        </w:rPr>
        <w:tab/>
      </w:r>
    </w:p>
    <w:p w:rsidR="00986E3D" w:rsidRPr="00F708AB" w:rsidRDefault="00986E3D" w:rsidP="00C25231">
      <w:pPr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9. W rozdziale 2 uchwały Nr L/826/06 Rady Miejskiej w Nysie z dnia 26 kwietnia 2006 r., po § 15a dodaje się § 15b w brzmieniu: </w:t>
      </w:r>
    </w:p>
    <w:p w:rsidR="00986E3D" w:rsidRPr="00F708AB" w:rsidRDefault="00986E3D" w:rsidP="00C25231">
      <w:pPr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 xml:space="preserve">„§ 15b. Dla terenu oznaczonego symbolem </w:t>
      </w:r>
      <w:r w:rsidRPr="00F708AB">
        <w:rPr>
          <w:rFonts w:ascii="Arial" w:hAnsi="Arial"/>
          <w:b/>
          <w:bCs/>
        </w:rPr>
        <w:t>U.12a</w:t>
      </w:r>
      <w:r w:rsidRPr="00F708AB">
        <w:rPr>
          <w:rFonts w:ascii="Arial" w:hAnsi="Arial"/>
          <w:b/>
        </w:rPr>
        <w:t xml:space="preserve"> </w:t>
      </w:r>
      <w:r w:rsidRPr="00F708AB">
        <w:rPr>
          <w:rFonts w:ascii="Arial" w:hAnsi="Arial"/>
        </w:rPr>
        <w:t xml:space="preserve">o podstawowym przeznaczeniu </w:t>
      </w:r>
      <w:r>
        <w:rPr>
          <w:rFonts w:ascii="Arial" w:hAnsi="Arial"/>
        </w:rPr>
        <w:t xml:space="preserve">                </w:t>
      </w:r>
      <w:r w:rsidRPr="00F708AB">
        <w:rPr>
          <w:rFonts w:ascii="Arial" w:hAnsi="Arial"/>
        </w:rPr>
        <w:t>pod zabudowę usługową ustala się następujące warunki zabudowy i zagospodarowania oraz parametry i standardy kształtowania zabudowy: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1) ustala się nieprzekraczalne linie zabudowy zgodne z rysunkiem planu;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2) nakazuje się powierzchnię biologicznie czynną min. 20%;   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3) nakazuje się wskaźnik intensywności zabudowy od 0,3÷0,6;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4) dla nowej zabudowy usługowej nakazuje się: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 xml:space="preserve">a) liczbę kondygnacji nadziemnych – do 1; 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b) max. wysokość nie przekraczającą 5,0 m do okapu dachu i 8,0 m do kalenicy;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c) zasadniczy dach budynków usługowych dwuspadowy o nachyleniu połaci w granicach 10°÷35°;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5) nakazuje się zapewnienie miejsc postojowych na terenie działki wg wskaźnika min. 1 miejsce postojowe na 20m</w:t>
      </w:r>
      <w:r w:rsidRPr="00F708AB">
        <w:rPr>
          <w:vertAlign w:val="superscript"/>
        </w:rPr>
        <w:t>2</w:t>
      </w:r>
      <w:r w:rsidRPr="00F708AB">
        <w:t xml:space="preserve"> powierzchni netto budynku;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6) dopuszcza się place utwardzone o nawierzchni przepuszczalnej;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7) zakazuje się lokalizacji obiektów tymczasowych;</w:t>
      </w:r>
    </w:p>
    <w:p w:rsidR="00986E3D" w:rsidRPr="00F708AB" w:rsidRDefault="00986E3D" w:rsidP="00C25231">
      <w:pPr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8) nakazuje się ograniczenie uciążliwego oddziaływania usług do granic terenu określonego tytułem prawnym do użytkowania </w:t>
      </w:r>
      <w:r w:rsidRPr="00F708AB">
        <w:rPr>
          <w:rFonts w:ascii="Arial" w:hAnsi="Arial" w:cs="Arial"/>
        </w:rPr>
        <w:t>z wyłączeniem inwestycji celu publicznego z zakresu łączności publicznej</w:t>
      </w:r>
      <w:r w:rsidRPr="00F708AB">
        <w:rPr>
          <w:rFonts w:ascii="Arial" w:hAnsi="Arial"/>
        </w:rPr>
        <w:t>;</w:t>
      </w:r>
    </w:p>
    <w:p w:rsidR="00986E3D" w:rsidRPr="00F708AB" w:rsidRDefault="00986E3D" w:rsidP="00C25231">
      <w:pPr>
        <w:pStyle w:val="BodyTextIndent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9) zakazuje się lokalizacji usług rzemiosła produkcyjnego i usługowego zaliczanych do przedsięwzięć mogących zawsze znacząco oddziaływać na środowisko i przedsięwzięć mogących potencjalnie oddziaływać na środowisko;</w:t>
      </w:r>
    </w:p>
    <w:p w:rsidR="00986E3D" w:rsidRPr="00F708AB" w:rsidRDefault="00986E3D" w:rsidP="00C25231">
      <w:pPr>
        <w:pStyle w:val="BodyTextInden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</w:tabs>
        <w:spacing w:line="200" w:lineRule="atLeast"/>
        <w:ind w:left="0"/>
        <w:jc w:val="both"/>
      </w:pPr>
      <w:r w:rsidRPr="00F708AB">
        <w:tab/>
        <w:t>10) dopuszcza się lokalizację obiektów i urządzeń towarzyszących funkcji podstawowej terenu; obiektów i urządzeń infrastruktury technicznej oraz zieleń urządzoną na niezabudowanej części terenu;</w:t>
      </w:r>
    </w:p>
    <w:p w:rsidR="00986E3D" w:rsidRPr="00F708AB" w:rsidRDefault="00986E3D" w:rsidP="00C25231">
      <w:pPr>
        <w:ind w:right="15" w:firstLine="709"/>
        <w:jc w:val="both"/>
        <w:rPr>
          <w:rFonts w:ascii="Arial" w:hAnsi="Arial" w:cs="Arial"/>
        </w:rPr>
      </w:pPr>
      <w:r w:rsidRPr="00F708AB">
        <w:rPr>
          <w:rFonts w:ascii="Arial" w:hAnsi="Arial" w:cs="Arial"/>
        </w:rPr>
        <w:t xml:space="preserve">11) dopuszcza się inwestycje celu publicznego z zakresu łączności publicznej, </w:t>
      </w:r>
    </w:p>
    <w:p w:rsidR="00986E3D" w:rsidRPr="00F708AB" w:rsidRDefault="00986E3D" w:rsidP="00C25231">
      <w:pPr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line="200" w:lineRule="atLeast"/>
        <w:ind w:right="15"/>
        <w:jc w:val="both"/>
        <w:rPr>
          <w:rFonts w:ascii="Arial" w:hAnsi="Arial" w:cs="Arial"/>
        </w:rPr>
      </w:pPr>
      <w:r w:rsidRPr="00F708AB">
        <w:rPr>
          <w:rFonts w:ascii="Arial" w:hAnsi="Arial" w:cs="Arial"/>
        </w:rPr>
        <w:t>których lokalizacja odbywać się będzie na warunkach określonych w przepisach odrębnych.”</w:t>
      </w:r>
    </w:p>
    <w:p w:rsidR="00986E3D" w:rsidRPr="00F708AB" w:rsidRDefault="00986E3D" w:rsidP="00C25231">
      <w:pPr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line="200" w:lineRule="atLeast"/>
        <w:ind w:right="15"/>
        <w:jc w:val="both"/>
        <w:rPr>
          <w:rFonts w:ascii="Arial" w:hAnsi="Arial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10. W uchwale Nr L/826/06 Rady Miejskiej w Nysie z dnia 26 kwietnia 2006 r. </w:t>
      </w:r>
      <w:r>
        <w:rPr>
          <w:rFonts w:ascii="Arial" w:hAnsi="Arial"/>
        </w:rPr>
        <w:t xml:space="preserve">              </w:t>
      </w:r>
      <w:r w:rsidRPr="00F708AB">
        <w:rPr>
          <w:rFonts w:ascii="Arial" w:hAnsi="Arial"/>
        </w:rPr>
        <w:t>po Rozdziale 2 dodaje się Rozdział 3a w brzmieniu: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>„Rozdział 3a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>Ustalenia  dot. granic i sposobów zagospodarowania terenów lub obiektów podlegających ochronie, ustalonych na podstawie odrębnych przepisów (w tym terenów i obszarów narażonych na niebezpieczeństwo powodzi).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17a.1.Ochronie podlega położony w granicach planu Główny Zbiornik Wód Podziemnych Nr 338 „Subzbiornik Paczków-Niemodlin” (w granicach określonych </w:t>
      </w:r>
      <w:r>
        <w:rPr>
          <w:rFonts w:ascii="Arial" w:hAnsi="Arial"/>
        </w:rPr>
        <w:t xml:space="preserve">                  </w:t>
      </w:r>
      <w:r w:rsidRPr="00F708AB">
        <w:rPr>
          <w:rFonts w:ascii="Arial" w:hAnsi="Arial"/>
        </w:rPr>
        <w:t>na rysunku planu), stanowiący obszar wysokiej ochrony wód podziemnych.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2. Teren objęty planem położony jest w całości w strefie ochrony pośredniej ujęć </w:t>
      </w:r>
      <w:r>
        <w:rPr>
          <w:rFonts w:ascii="Arial" w:hAnsi="Arial"/>
        </w:rPr>
        <w:t xml:space="preserve">              </w:t>
      </w:r>
      <w:r w:rsidRPr="00F708AB">
        <w:rPr>
          <w:rFonts w:ascii="Arial" w:hAnsi="Arial"/>
        </w:rPr>
        <w:t xml:space="preserve">i źródeł wody dla miasta Wrocławia zatwierdzonej decyzją Urzędu Wojewódzkiego </w:t>
      </w:r>
      <w:r>
        <w:rPr>
          <w:rFonts w:ascii="Arial" w:hAnsi="Arial"/>
        </w:rPr>
        <w:t xml:space="preserve">                 </w:t>
      </w:r>
      <w:r w:rsidRPr="00F708AB">
        <w:rPr>
          <w:rFonts w:ascii="Arial" w:hAnsi="Arial"/>
        </w:rPr>
        <w:t>we Wrocławiu nr RLSgwI 053/17/74 z 31 marca 1974r.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3. W strefie ochronnej określonej w ust.2  należy przestrzegać obowiązujących zakazów, nakazów i ograniczeń wynikających z w/w decyzji i przepisów szczególnych.”</w:t>
      </w:r>
    </w:p>
    <w:p w:rsidR="00986E3D" w:rsidRPr="00F708AB" w:rsidRDefault="00986E3D">
      <w:pPr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line="200" w:lineRule="atLeast"/>
        <w:ind w:right="15"/>
      </w:pPr>
    </w:p>
    <w:p w:rsidR="00986E3D" w:rsidRPr="00F708AB" w:rsidRDefault="00986E3D">
      <w:pPr>
        <w:rPr>
          <w:rFonts w:ascii="Arial" w:hAnsi="Arial"/>
        </w:rPr>
      </w:pPr>
      <w:r w:rsidRPr="00F708AB">
        <w:rPr>
          <w:rFonts w:ascii="Arial" w:hAnsi="Arial"/>
        </w:rPr>
        <w:tab/>
      </w:r>
    </w:p>
    <w:p w:rsidR="00986E3D" w:rsidRPr="00F708AB" w:rsidRDefault="00986E3D">
      <w:pPr>
        <w:pStyle w:val="BodyText"/>
        <w:shd w:val="clear" w:color="auto" w:fill="FFFFFF"/>
        <w:tabs>
          <w:tab w:val="left" w:pos="709"/>
          <w:tab w:val="left" w:pos="7290"/>
        </w:tabs>
        <w:suppressAutoHyphens w:val="0"/>
        <w:spacing w:line="200" w:lineRule="atLeast"/>
        <w:rPr>
          <w:rFonts w:ascii="Arial" w:hAnsi="Arial"/>
          <w:spacing w:val="3"/>
        </w:rPr>
      </w:pPr>
      <w:r w:rsidRPr="00F708AB">
        <w:rPr>
          <w:rFonts w:ascii="Arial" w:hAnsi="Arial"/>
          <w:spacing w:val="3"/>
        </w:rPr>
        <w:tab/>
      </w:r>
      <w:r w:rsidRPr="00F708AB">
        <w:rPr>
          <w:rFonts w:ascii="Arial" w:hAnsi="Arial"/>
          <w:spacing w:val="3"/>
        </w:rPr>
        <w:tab/>
      </w:r>
    </w:p>
    <w:p w:rsidR="00986E3D" w:rsidRPr="00F708AB" w:rsidRDefault="00986E3D" w:rsidP="00C25231">
      <w:pPr>
        <w:pStyle w:val="Heading2"/>
        <w:tabs>
          <w:tab w:val="num" w:pos="0"/>
        </w:tabs>
        <w:spacing w:line="200" w:lineRule="atLeast"/>
        <w:ind w:right="0" w:firstLine="555"/>
        <w:jc w:val="both"/>
        <w:rPr>
          <w:b/>
          <w:bCs/>
          <w:color w:val="auto"/>
        </w:rPr>
      </w:pPr>
      <w:r w:rsidRPr="00F708AB">
        <w:rPr>
          <w:b/>
          <w:bCs/>
          <w:color w:val="auto"/>
        </w:rPr>
        <w:t>DZIAŁ III. OPŁATY OD WZROSTU WARTOŚCI NIERUCHOMOŚCI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11. Ustala się  następujące stawki procentowe stanowiące podstawę </w:t>
      </w:r>
      <w:r>
        <w:rPr>
          <w:rFonts w:ascii="Arial" w:hAnsi="Arial"/>
        </w:rPr>
        <w:t xml:space="preserve">                          </w:t>
      </w:r>
      <w:r w:rsidRPr="00F708AB">
        <w:rPr>
          <w:rFonts w:ascii="Arial" w:hAnsi="Arial"/>
        </w:rPr>
        <w:t xml:space="preserve">do określania opłaty, o której mowa w art. 36 ust. 4 ustawy o planowaniu </w:t>
      </w:r>
      <w:r>
        <w:rPr>
          <w:rFonts w:ascii="Arial" w:hAnsi="Arial"/>
        </w:rPr>
        <w:t xml:space="preserve">                                       </w:t>
      </w:r>
      <w:r w:rsidRPr="00F708AB">
        <w:rPr>
          <w:rFonts w:ascii="Arial" w:hAnsi="Arial"/>
        </w:rPr>
        <w:t>i zagospodarowaniu  przestrzennym: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>- dla terenów objętych zmianą planu ustala się stawkę w wysokości 30%.</w:t>
      </w:r>
    </w:p>
    <w:p w:rsidR="00986E3D" w:rsidRPr="00F708AB" w:rsidRDefault="00986E3D" w:rsidP="00C25231">
      <w:pPr>
        <w:jc w:val="both"/>
        <w:rPr>
          <w:rFonts w:ascii="Arial" w:hAnsi="Arial"/>
        </w:rPr>
      </w:pPr>
    </w:p>
    <w:p w:rsidR="00986E3D" w:rsidRPr="00F708AB" w:rsidRDefault="00986E3D" w:rsidP="00C25231">
      <w:pPr>
        <w:pStyle w:val="Heading2"/>
        <w:tabs>
          <w:tab w:val="num" w:pos="0"/>
        </w:tabs>
        <w:spacing w:line="200" w:lineRule="atLeast"/>
        <w:ind w:right="0" w:firstLine="555"/>
        <w:jc w:val="both"/>
        <w:rPr>
          <w:b/>
          <w:bCs/>
          <w:color w:val="auto"/>
        </w:rPr>
      </w:pPr>
      <w:r w:rsidRPr="00F708AB">
        <w:rPr>
          <w:b/>
          <w:bCs/>
          <w:color w:val="auto"/>
        </w:rPr>
        <w:t>DZIAŁ IV. PRZEPISY KOŃCOWE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</w:rPr>
      </w:pP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 xml:space="preserve">§ 12. Tracą moc dotychczasowe ustalenia miejscowego planu zagospodarowania przestrzennego obszaru miejskiego gminy Nysa w zakresie obejmującym części miasta Nysy w rejonie ulic J. Piłsudskiego i Podolskiej zatwierdzonego uchwałą Nr L/826/06 Rady Miejskiej w Nysie z dnia 26 kwietnia 2006 r. wraz ze zmianą uchwaloną Uchwałą </w:t>
      </w:r>
      <w:r>
        <w:rPr>
          <w:rFonts w:ascii="Arial" w:hAnsi="Arial"/>
        </w:rPr>
        <w:t xml:space="preserve">                     N</w:t>
      </w:r>
      <w:r w:rsidRPr="00F708AB">
        <w:rPr>
          <w:rFonts w:ascii="Arial" w:hAnsi="Arial"/>
        </w:rPr>
        <w:t xml:space="preserve">r XXVII/386/08 Rady Miejskiej w Nysie z dnia 27 listopada 2008r. </w:t>
      </w:r>
    </w:p>
    <w:p w:rsidR="00986E3D" w:rsidRPr="00F708AB" w:rsidRDefault="00986E3D" w:rsidP="00C25231">
      <w:pPr>
        <w:jc w:val="both"/>
        <w:rPr>
          <w:rFonts w:ascii="Arial" w:hAnsi="Arial"/>
        </w:rPr>
      </w:pPr>
      <w:r w:rsidRPr="00F708AB">
        <w:rPr>
          <w:rFonts w:ascii="Arial" w:hAnsi="Arial"/>
        </w:rPr>
        <w:tab/>
        <w:t>§ 13. Wykonanie uchwały powierza się Burmistrzowi Nysy.</w:t>
      </w:r>
    </w:p>
    <w:p w:rsidR="00986E3D" w:rsidRPr="00F708AB" w:rsidRDefault="00986E3D" w:rsidP="00C25231">
      <w:pPr>
        <w:spacing w:line="200" w:lineRule="atLeast"/>
        <w:jc w:val="both"/>
        <w:rPr>
          <w:rFonts w:ascii="Arial" w:hAnsi="Arial"/>
          <w:spacing w:val="3"/>
        </w:rPr>
      </w:pPr>
      <w:r w:rsidRPr="00F708AB">
        <w:rPr>
          <w:rFonts w:ascii="Arial" w:hAnsi="Arial"/>
        </w:rPr>
        <w:tab/>
        <w:t xml:space="preserve">§ 14. </w:t>
      </w:r>
      <w:r w:rsidRPr="00F708AB">
        <w:rPr>
          <w:rFonts w:ascii="Arial" w:hAnsi="Arial"/>
          <w:spacing w:val="3"/>
        </w:rPr>
        <w:t>Uchwała podlega ogłoszeniu w Dzienniku Urzędowym Województwa Opolskiego i wchodzi w życie po upływie 30 dni od dnia ogłoszenia.</w:t>
      </w:r>
    </w:p>
    <w:p w:rsidR="00986E3D" w:rsidRDefault="00986E3D">
      <w:pPr>
        <w:pStyle w:val="BodyTex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after="0" w:line="200" w:lineRule="atLeast"/>
        <w:ind w:right="15"/>
        <w:rPr>
          <w:rFonts w:ascii="Arial" w:hAnsi="Arial"/>
        </w:rPr>
      </w:pPr>
    </w:p>
    <w:p w:rsidR="00986E3D" w:rsidRDefault="00986E3D">
      <w:pPr>
        <w:pStyle w:val="BodyTex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after="0" w:line="200" w:lineRule="atLeast"/>
        <w:ind w:right="15"/>
        <w:rPr>
          <w:rFonts w:ascii="Arial" w:hAnsi="Arial"/>
        </w:rPr>
      </w:pPr>
    </w:p>
    <w:p w:rsidR="00986E3D" w:rsidRDefault="00986E3D" w:rsidP="00290416"/>
    <w:p w:rsidR="00986E3D" w:rsidRPr="00290416" w:rsidRDefault="00986E3D" w:rsidP="00290416">
      <w:pPr>
        <w:pStyle w:val="BodyText"/>
        <w:ind w:left="5004" w:firstLine="660"/>
        <w:jc w:val="center"/>
      </w:pPr>
      <w:r w:rsidRPr="00290416">
        <w:rPr>
          <w:bCs/>
        </w:rPr>
        <w:t>Przewodniczący Rady</w:t>
      </w:r>
    </w:p>
    <w:p w:rsidR="00986E3D" w:rsidRPr="00290416" w:rsidRDefault="00986E3D" w:rsidP="00290416">
      <w:pPr>
        <w:pStyle w:val="BodyText"/>
        <w:ind w:left="2880"/>
        <w:jc w:val="center"/>
      </w:pPr>
    </w:p>
    <w:p w:rsidR="00986E3D" w:rsidRPr="00290416" w:rsidRDefault="00986E3D" w:rsidP="00290416">
      <w:pPr>
        <w:pStyle w:val="BodyText"/>
        <w:ind w:left="5004" w:firstLine="660"/>
        <w:jc w:val="center"/>
        <w:rPr>
          <w:bCs/>
        </w:rPr>
      </w:pPr>
      <w:r w:rsidRPr="00290416">
        <w:rPr>
          <w:bCs/>
        </w:rPr>
        <w:t>Feliks Kamienik</w:t>
      </w:r>
    </w:p>
    <w:p w:rsidR="00986E3D" w:rsidRPr="00F708AB" w:rsidRDefault="00986E3D">
      <w:pPr>
        <w:pStyle w:val="BodyText"/>
        <w:shd w:val="clear" w:color="auto" w:fill="FFFFFF"/>
        <w:tabs>
          <w:tab w:val="left" w:pos="-31680"/>
          <w:tab w:val="left" w:pos="-29814"/>
          <w:tab w:val="left" w:pos="-27654"/>
          <w:tab w:val="left" w:pos="-25494"/>
          <w:tab w:val="left" w:pos="-23334"/>
          <w:tab w:val="left" w:pos="-21174"/>
          <w:tab w:val="left" w:pos="-998"/>
        </w:tabs>
        <w:spacing w:after="0" w:line="200" w:lineRule="atLeast"/>
        <w:ind w:right="15"/>
        <w:rPr>
          <w:rFonts w:ascii="Arial" w:hAnsi="Arial"/>
        </w:rPr>
      </w:pPr>
    </w:p>
    <w:sectPr w:rsidR="00986E3D" w:rsidRPr="00F708AB" w:rsidSect="00480F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AB"/>
    <w:rsid w:val="00117EBA"/>
    <w:rsid w:val="00290416"/>
    <w:rsid w:val="002B65DF"/>
    <w:rsid w:val="0043264D"/>
    <w:rsid w:val="00442817"/>
    <w:rsid w:val="00480F3E"/>
    <w:rsid w:val="005D15DE"/>
    <w:rsid w:val="00681C9E"/>
    <w:rsid w:val="00986E3D"/>
    <w:rsid w:val="00C25231"/>
    <w:rsid w:val="00F7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3E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F3E"/>
    <w:pPr>
      <w:keepNext/>
      <w:shd w:val="clear" w:color="auto" w:fill="FFFFFF"/>
      <w:tabs>
        <w:tab w:val="left" w:pos="0"/>
      </w:tabs>
      <w:ind w:right="-703"/>
      <w:jc w:val="center"/>
      <w:outlineLvl w:val="1"/>
    </w:pPr>
    <w:rPr>
      <w:rFonts w:ascii="Arial" w:hAnsi="Arial"/>
      <w:color w:val="000000"/>
      <w:spacing w:val="-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6A02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bsatz-Standardschriftart">
    <w:name w:val="Absatz-Standardschriftart"/>
    <w:uiPriority w:val="99"/>
    <w:rsid w:val="00480F3E"/>
  </w:style>
  <w:style w:type="character" w:customStyle="1" w:styleId="Domylnaczcionkaakapitu2">
    <w:name w:val="Domyślna czcionka akapitu2"/>
    <w:uiPriority w:val="99"/>
    <w:rsid w:val="00480F3E"/>
  </w:style>
  <w:style w:type="character" w:customStyle="1" w:styleId="WW-Absatz-Standardschriftart">
    <w:name w:val="WW-Absatz-Standardschriftart"/>
    <w:uiPriority w:val="99"/>
    <w:rsid w:val="00480F3E"/>
  </w:style>
  <w:style w:type="character" w:customStyle="1" w:styleId="WW-Absatz-Standardschriftart1">
    <w:name w:val="WW-Absatz-Standardschriftart1"/>
    <w:uiPriority w:val="99"/>
    <w:rsid w:val="00480F3E"/>
  </w:style>
  <w:style w:type="character" w:customStyle="1" w:styleId="WW-Absatz-Standardschriftart11">
    <w:name w:val="WW-Absatz-Standardschriftart11"/>
    <w:uiPriority w:val="99"/>
    <w:rsid w:val="00480F3E"/>
  </w:style>
  <w:style w:type="character" w:customStyle="1" w:styleId="WW-Absatz-Standardschriftart111">
    <w:name w:val="WW-Absatz-Standardschriftart111"/>
    <w:uiPriority w:val="99"/>
    <w:rsid w:val="00480F3E"/>
  </w:style>
  <w:style w:type="character" w:customStyle="1" w:styleId="WW-Absatz-Standardschriftart1111">
    <w:name w:val="WW-Absatz-Standardschriftart1111"/>
    <w:uiPriority w:val="99"/>
    <w:rsid w:val="00480F3E"/>
  </w:style>
  <w:style w:type="character" w:customStyle="1" w:styleId="WW-Absatz-Standardschriftart11111">
    <w:name w:val="WW-Absatz-Standardschriftart11111"/>
    <w:uiPriority w:val="99"/>
    <w:rsid w:val="00480F3E"/>
  </w:style>
  <w:style w:type="character" w:customStyle="1" w:styleId="WW-Absatz-Standardschriftart111111">
    <w:name w:val="WW-Absatz-Standardschriftart111111"/>
    <w:uiPriority w:val="99"/>
    <w:rsid w:val="00480F3E"/>
  </w:style>
  <w:style w:type="character" w:customStyle="1" w:styleId="Domylnaczcionkaakapitu1">
    <w:name w:val="Domyślna czcionka akapitu1"/>
    <w:uiPriority w:val="99"/>
    <w:rsid w:val="00480F3E"/>
  </w:style>
  <w:style w:type="character" w:customStyle="1" w:styleId="WW-Absatz-Standardschriftart1111111">
    <w:name w:val="WW-Absatz-Standardschriftart1111111"/>
    <w:uiPriority w:val="99"/>
    <w:rsid w:val="00480F3E"/>
  </w:style>
  <w:style w:type="character" w:customStyle="1" w:styleId="Znakinumeracji">
    <w:name w:val="Znaki numeracji"/>
    <w:uiPriority w:val="99"/>
    <w:rsid w:val="00480F3E"/>
  </w:style>
  <w:style w:type="character" w:customStyle="1" w:styleId="WW8Num97z0">
    <w:name w:val="WW8Num97z0"/>
    <w:uiPriority w:val="99"/>
    <w:rsid w:val="00480F3E"/>
    <w:rPr>
      <w:rFonts w:ascii="Symbol" w:hAnsi="Symbol"/>
    </w:rPr>
  </w:style>
  <w:style w:type="character" w:customStyle="1" w:styleId="WW8Num97z1">
    <w:name w:val="WW8Num97z1"/>
    <w:uiPriority w:val="99"/>
    <w:rsid w:val="00480F3E"/>
    <w:rPr>
      <w:rFonts w:ascii="Courier New" w:hAnsi="Courier New"/>
    </w:rPr>
  </w:style>
  <w:style w:type="character" w:customStyle="1" w:styleId="WW8Num97z2">
    <w:name w:val="WW8Num97z2"/>
    <w:uiPriority w:val="99"/>
    <w:rsid w:val="00480F3E"/>
    <w:rPr>
      <w:rFonts w:ascii="Wingdings" w:hAnsi="Wingdings"/>
    </w:rPr>
  </w:style>
  <w:style w:type="paragraph" w:customStyle="1" w:styleId="Nagwek3">
    <w:name w:val="Nagłówek3"/>
    <w:basedOn w:val="Normal"/>
    <w:next w:val="BodyText"/>
    <w:uiPriority w:val="99"/>
    <w:rsid w:val="00480F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0F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A02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480F3E"/>
  </w:style>
  <w:style w:type="paragraph" w:customStyle="1" w:styleId="Podpis3">
    <w:name w:val="Podpis3"/>
    <w:basedOn w:val="Normal"/>
    <w:uiPriority w:val="99"/>
    <w:rsid w:val="00480F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480F3E"/>
    <w:pPr>
      <w:suppressLineNumbers/>
    </w:pPr>
  </w:style>
  <w:style w:type="paragraph" w:customStyle="1" w:styleId="Nagwek2">
    <w:name w:val="Nagłówek2"/>
    <w:basedOn w:val="Normal"/>
    <w:next w:val="BodyText"/>
    <w:uiPriority w:val="99"/>
    <w:rsid w:val="00480F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"/>
    <w:uiPriority w:val="99"/>
    <w:rsid w:val="00480F3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480F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"/>
    <w:uiPriority w:val="99"/>
    <w:rsid w:val="00480F3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"/>
    <w:uiPriority w:val="99"/>
    <w:rsid w:val="00480F3E"/>
    <w:pPr>
      <w:autoSpaceDE w:val="0"/>
    </w:pPr>
    <w:rPr>
      <w:rFonts w:ascii="Univers" w:hAnsi="Univers" w:cs="Univers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480F3E"/>
    <w:pPr>
      <w:tabs>
        <w:tab w:val="left" w:pos="-998"/>
      </w:tabs>
      <w:ind w:left="-21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A02"/>
    <w:rPr>
      <w:rFonts w:cs="Mangal"/>
      <w:kern w:val="1"/>
      <w:sz w:val="24"/>
      <w:szCs w:val="21"/>
      <w:lang w:eastAsia="hi-IN" w:bidi="hi-IN"/>
    </w:rPr>
  </w:style>
  <w:style w:type="paragraph" w:customStyle="1" w:styleId="Tekstwstpniesformatowany">
    <w:name w:val="Tekst wstępnie sformatowany"/>
    <w:basedOn w:val="Normal"/>
    <w:uiPriority w:val="99"/>
    <w:rsid w:val="00480F3E"/>
    <w:rPr>
      <w:rFonts w:ascii="Courier New" w:hAnsi="Courier New" w:cs="Courier New"/>
      <w:sz w:val="20"/>
      <w:szCs w:val="20"/>
    </w:rPr>
  </w:style>
  <w:style w:type="paragraph" w:customStyle="1" w:styleId="Zwykytekst">
    <w:name w:val="Zwyk?y tekst"/>
    <w:basedOn w:val="Normal"/>
    <w:uiPriority w:val="99"/>
    <w:rsid w:val="00480F3E"/>
    <w:pPr>
      <w:widowControl/>
    </w:pPr>
    <w:rPr>
      <w:rFonts w:ascii="Courier New" w:hAnsi="Courier New"/>
    </w:rPr>
  </w:style>
  <w:style w:type="paragraph" w:customStyle="1" w:styleId="TekstpodstawowyOdstp1">
    <w:name w:val="Tekst podstawowy.Odstęp1"/>
    <w:basedOn w:val="Normal"/>
    <w:uiPriority w:val="99"/>
    <w:rsid w:val="00480F3E"/>
    <w:pPr>
      <w:spacing w:line="360" w:lineRule="auto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1920</Words>
  <Characters>11520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arplan arplan</dc:creator>
  <cp:keywords/>
  <dc:description/>
  <cp:lastModifiedBy>epaweska</cp:lastModifiedBy>
  <cp:revision>4</cp:revision>
  <cp:lastPrinted>2011-04-01T12:34:00Z</cp:lastPrinted>
  <dcterms:created xsi:type="dcterms:W3CDTF">2011-03-31T06:33:00Z</dcterms:created>
  <dcterms:modified xsi:type="dcterms:W3CDTF">2011-04-11T08:03:00Z</dcterms:modified>
</cp:coreProperties>
</file>